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c00000"/>
          <w:sz w:val="40"/>
          <w:szCs w:val="40"/>
        </w:rPr>
        <w:drawing>
          <wp:inline distB="114300" distT="114300" distL="114300" distR="114300">
            <wp:extent cx="2045018" cy="155506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45018" cy="15550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ОПРОСНЫЙ ЛИСТ ДЛЯ РАСЧЕТА ПЛАСТИНЧАТОГО ТЕПЛООБМЕННИКА</w:t>
      </w:r>
      <w:r w:rsidDel="00000000" w:rsidR="00000000" w:rsidRPr="00000000">
        <w:rPr>
          <w:rtl w:val="0"/>
        </w:rPr>
      </w:r>
    </w:p>
    <w:tbl>
      <w:tblPr>
        <w:tblStyle w:val="Table1"/>
        <w:tblW w:w="10632.0" w:type="dxa"/>
        <w:jc w:val="left"/>
        <w:tblLayout w:type="fixed"/>
        <w:tblLook w:val="0000"/>
      </w:tblPr>
      <w:tblGrid>
        <w:gridCol w:w="2553"/>
        <w:gridCol w:w="1842"/>
        <w:gridCol w:w="6237"/>
        <w:tblGridChange w:id="0">
          <w:tblGrid>
            <w:gridCol w:w="2553"/>
            <w:gridCol w:w="1842"/>
            <w:gridCol w:w="6237"/>
          </w:tblGrid>
        </w:tblGridChange>
      </w:tblGrid>
      <w:tr>
        <w:trPr>
          <w:cantSplit w:val="0"/>
          <w:trHeight w:val="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Организация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6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Координаты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Город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9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заказчика: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Тел/факс, E-mail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Контактное лицо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Название объекта: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rHeight w:val="7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Применение ПТО: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center" w:leader="none" w:pos="4536"/>
                <w:tab w:val="right" w:leader="none" w:pos="9072"/>
              </w:tabs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  <w:i w:val="0"/>
                <w:smallCaps w:val="0"/>
                <w:strike w:val="0"/>
                <w:color w:val="cc4125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omfortaa" w:cs="Comfortaa" w:eastAsia="Comfortaa" w:hAnsi="Comfortaa"/>
                <w:b w:val="1"/>
                <w:i w:val="0"/>
                <w:smallCaps w:val="0"/>
                <w:strike w:val="0"/>
                <w:color w:val="cc4125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Смешанная схема ГВС</w:t>
            </w:r>
            <w:r w:rsidDel="00000000" w:rsidR="00000000" w:rsidRPr="00000000">
              <w:rPr>
                <w:rFonts w:ascii="Comfortaa" w:cs="Comfortaa" w:eastAsia="Comfortaa" w:hAnsi="Comfortaa"/>
                <w:i w:val="0"/>
                <w:smallCaps w:val="0"/>
                <w:strike w:val="0"/>
                <w:color w:val="cc4125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(     )       </w:t>
            </w:r>
            <w:r w:rsidDel="00000000" w:rsidR="00000000" w:rsidRPr="00000000">
              <w:rPr>
                <w:rFonts w:ascii="Comfortaa" w:cs="Comfortaa" w:eastAsia="Comfortaa" w:hAnsi="Comfortaa"/>
                <w:b w:val="1"/>
                <w:i w:val="0"/>
                <w:smallCaps w:val="0"/>
                <w:strike w:val="0"/>
                <w:color w:val="cc4125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Последовательная схема ГВС</w:t>
            </w:r>
            <w:r w:rsidDel="00000000" w:rsidR="00000000" w:rsidRPr="00000000">
              <w:rPr>
                <w:rFonts w:ascii="Comfortaa" w:cs="Comfortaa" w:eastAsia="Comfortaa" w:hAnsi="Comfortaa"/>
                <w:i w:val="0"/>
                <w:smallCaps w:val="0"/>
                <w:strike w:val="0"/>
                <w:color w:val="cc4125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(     )</w:t>
            </w:r>
          </w:p>
        </w:tc>
      </w:tr>
    </w:tbl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98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016"/>
        <w:gridCol w:w="1134"/>
        <w:gridCol w:w="1418"/>
        <w:gridCol w:w="1417"/>
        <w:tblGridChange w:id="0">
          <w:tblGrid>
            <w:gridCol w:w="7016"/>
            <w:gridCol w:w="1134"/>
            <w:gridCol w:w="1418"/>
            <w:gridCol w:w="141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Ед. изм.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Зима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Лето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Температура подающей теплосетевой воды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Температура обратной теплосетевой воды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Тепловая нагрузка системы ГВС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Гкал/ч (кВт)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 (V)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Расход воды ГВС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omfortaa" w:cs="Comfortaa" w:eastAsia="Comfortaa" w:hAnsi="Comfortaa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(указать, если неизвестна нагрузка системы ГВС)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т/ч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Тепловая нагрузка системы отопления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Гкал/ч (кВт)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 V (V)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Внутренний график системы отопления в зимний период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omfortaa" w:cs="Comfortaa" w:eastAsia="Comfortaa" w:hAnsi="Comfortaa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(указать при расчете двухступенчатой последовательной схемы ГВС)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С/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Внутренний график системы отопления в переходный период </w:t>
            </w:r>
            <w:r w:rsidDel="00000000" w:rsidR="00000000" w:rsidRPr="00000000">
              <w:rPr>
                <w:rFonts w:ascii="Comfortaa" w:cs="Comfortaa" w:eastAsia="Comfortaa" w:hAnsi="Comfortaa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(указать при расчете двухступенчатой последовательной схемы ГВС)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С/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Температура холодной воды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Температура нагретой воды ГВС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Максимальное рабочее давление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кгс/см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Максимальная рабочая температура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mfortaa" w:cs="Comfortaa" w:eastAsia="Comfortaa" w:hAnsi="Comfortaa"/>
          <w:b w:val="1"/>
          <w:color w:val="cc41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mfortaa" w:cs="Comfortaa" w:eastAsia="Comfortaa" w:hAnsi="Comfortaa"/>
          <w:i w:val="0"/>
          <w:smallCaps w:val="0"/>
          <w:strike w:val="0"/>
          <w:color w:val="cc4125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mfortaa" w:cs="Comfortaa" w:eastAsia="Comfortaa" w:hAnsi="Comfortaa"/>
          <w:b w:val="1"/>
          <w:i w:val="0"/>
          <w:smallCaps w:val="0"/>
          <w:strike w:val="0"/>
          <w:color w:val="cc4125"/>
          <w:sz w:val="22"/>
          <w:szCs w:val="22"/>
          <w:u w:val="none"/>
          <w:shd w:fill="auto" w:val="clear"/>
          <w:vertAlign w:val="baseline"/>
          <w:rtl w:val="0"/>
        </w:rPr>
        <w:t xml:space="preserve">V – Обязательные графы к заполнению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8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Примечания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(описание технологического процесса)__________________________________________________</w:t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8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</w:t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Утверждаю: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___________________________________________________________________________________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                                                     Подпись /  ФИО лица, заполнившего опросный лист/ Дата заполнения</w:t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8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pgSz w:h="16838" w:w="11906" w:orient="portrait"/>
          <w:pgMar w:bottom="720" w:top="426" w:left="567" w:right="720" w:header="567" w:footer="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1"/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Web-сайт </w:t>
      </w:r>
      <w:hyperlink r:id="rId7">
        <w:r w:rsidDel="00000000" w:rsidR="00000000" w:rsidRPr="00000000">
          <w:rPr>
            <w:color w:val="0000ff"/>
            <w:sz w:val="18"/>
            <w:szCs w:val="18"/>
            <w:u w:val="single"/>
            <w:rtl w:val="0"/>
          </w:rPr>
          <w:t xml:space="preserve">https://teplo-garant.com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1"/>
        <w:spacing w:line="240" w:lineRule="auto"/>
        <w:rPr>
          <w:color w:val="1800c6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E-mail: </w:t>
      </w:r>
      <w:hyperlink r:id="rId8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sale@teplo-garant.com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568" w:top="707" w:left="709" w:right="424" w:header="567" w:footer="0"/>
      <w:cols w:equalWidth="0" w:num="3">
        <w:col w:space="708" w:w="3118.999999999999"/>
        <w:col w:space="708" w:w="3118.999999999999"/>
        <w:col w:space="0" w:w="3118.999999999999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  <w:font w:name="Comfortaa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widowControl w:val="0"/>
        <w:spacing w:line="26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://teplo-garant.com/" TargetMode="External"/><Relationship Id="rId8" Type="http://schemas.openxmlformats.org/officeDocument/2006/relationships/hyperlink" Target="mailto:sale@teplo-garant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omfortaa-regular.ttf"/><Relationship Id="rId4" Type="http://schemas.openxmlformats.org/officeDocument/2006/relationships/font" Target="fonts/Comforta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